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1" w:afterAutospacing="1" w:line="29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佛山市三水区人民医院</w:t>
      </w:r>
    </w:p>
    <w:p>
      <w:pPr>
        <w:pStyle w:val="6"/>
        <w:widowControl/>
        <w:spacing w:beforeAutospacing="1" w:afterAutospacing="1" w:line="29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三水区智慧急诊急救大平台（2026-2027年）项目采购需求书</w:t>
      </w: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项目概况（项目背景）：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为贯彻《“健康中国2030”规划纲要》《“千县工程”县医院综合能力提升工作方案（2021-2025年）》等政策要求，破解三水区传统急诊急救模式中院前院内信息脱节、资源配置低效、社会化急救力量未激活、慢病急救关口滞后等痛点，构建“全域覆盖、全程贯通、全员参与、全时响应”的区域智慧急诊急救体系，推动急救模式从“120电话急救调度”向“区域健康智能应急保障”跃迁。结合区域医疗发展实际，建设区域智慧急诊急救信息平台，整合区域内医疗资源、社会化急救力量、物联网设备，实现院前急救-院内救治-慢病管理的全链条智能化，提升区域急诊急救整体能力，完善区域医疗服务体系。</w:t>
      </w: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项目具体建设内容：</w:t>
      </w:r>
    </w:p>
    <w:p>
      <w:pPr>
        <w:numPr>
          <w:ilvl w:val="0"/>
          <w:numId w:val="2"/>
        </w:numPr>
        <w:rPr>
          <w:rFonts w:eastAsia="宋体"/>
          <w:b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/>
          <w:b/>
          <w:bCs/>
          <w:sz w:val="24"/>
          <w:szCs w:val="32"/>
        </w:rPr>
        <w:t>项目建设清单</w:t>
      </w:r>
    </w:p>
    <w:tbl>
      <w:tblPr>
        <w:tblStyle w:val="7"/>
        <w:tblW w:w="9698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41"/>
        <w:gridCol w:w="1433"/>
        <w:gridCol w:w="709"/>
        <w:gridCol w:w="582"/>
        <w:gridCol w:w="2795"/>
        <w:gridCol w:w="279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项目内容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 w:bidi="ar"/>
              </w:rPr>
              <w:t>预算金额（万元）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佛山市三水区人民医院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三水区智慧急诊急救大平台（2026-2027年）项目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微软雅黑"/>
                <w:color w:val="0F1115"/>
                <w:szCs w:val="21"/>
                <w:shd w:val="clear" w:color="auto" w:fill="FFFFFF"/>
              </w:rPr>
              <w:t>成品软件系统（含智慧视频调度指挥系统、三水智救通小程序、系统管理模块、地图运营商</w:t>
            </w:r>
            <w:r>
              <w:rPr>
                <w:rFonts w:hint="eastAsia" w:ascii="宋体" w:hAnsi="宋体" w:eastAsia="宋体" w:cs="Segoe UI"/>
                <w:color w:val="0F1115"/>
                <w:szCs w:val="21"/>
                <w:shd w:val="clear" w:color="auto" w:fill="FFFFFF"/>
              </w:rPr>
              <w:t>API</w:t>
            </w:r>
            <w:r>
              <w:rPr>
                <w:rFonts w:hint="eastAsia" w:ascii="宋体" w:hAnsi="宋体" w:eastAsia="宋体" w:cs="微软雅黑"/>
                <w:color w:val="0F1115"/>
                <w:szCs w:val="21"/>
                <w:shd w:val="clear" w:color="auto" w:fill="FFFFFF"/>
              </w:rPr>
              <w:t>接口集成、平台接口模块）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构建区域智慧急救指挥中枢，打通信息壁垒，激活社会化急救力量，推动急救关口前移，实现急诊急救全流程智能化质控与溯源</w:t>
            </w:r>
          </w:p>
        </w:tc>
      </w:tr>
    </w:tbl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建设工期或服务期：</w:t>
      </w:r>
    </w:p>
    <w:p>
      <w:pPr>
        <w:pStyle w:val="6"/>
        <w:widowControl/>
        <w:spacing w:beforeAutospacing="1" w:afterAutospacing="1" w:line="27" w:lineRule="atLeast"/>
        <w:ind w:firstLine="478"/>
        <w:rPr>
          <w:szCs w:val="32"/>
        </w:rPr>
      </w:pPr>
      <w:r>
        <w:rPr>
          <w:rFonts w:hint="eastAsia"/>
          <w:szCs w:val="32"/>
        </w:rPr>
        <w:t>建设工期：6个月。</w:t>
      </w: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技术需求</w:t>
      </w:r>
    </w:p>
    <w:tbl>
      <w:tblPr>
        <w:tblStyle w:val="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71"/>
        <w:gridCol w:w="1839"/>
        <w:gridCol w:w="4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3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主要功能模块</w:t>
            </w:r>
          </w:p>
        </w:tc>
        <w:tc>
          <w:tcPr>
            <w:tcW w:w="4332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pStyle w:val="6"/>
              <w:widowControl/>
              <w:spacing w:beforeAutospacing="1" w:afterAutospacing="1" w:line="27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佛山市三水区人民医院三水区智慧急诊急救大平台（2026-2027年）项目</w:t>
            </w:r>
          </w:p>
        </w:tc>
        <w:tc>
          <w:tcPr>
            <w:tcW w:w="1842" w:type="dxa"/>
            <w:vAlign w:val="center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智慧视频调度指挥系统</w:t>
            </w:r>
          </w:p>
        </w:tc>
        <w:tc>
          <w:tcPr>
            <w:tcW w:w="433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 智能调度引擎：多维度智能决策模型，自动生成最优派单及转运方案，支持突发公共事件批量资源调度；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 全景可视化指挥大屏：3DGIS全域立体作战地图，支持急救资源、事件全流程可视化展示与追踪；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 音视频通话模块：多渠道呼救统一受理，支持视频呼救、多方协同会诊，弱网环境下音视频延迟≤200ms，卡顿率≤1%；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 智能化车辆与车载设备管理：急救车辆及设备全生命周期管理，实时监控位置与运行状态；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 急救站/急救车工作站：支持派单接收、路线查看、状态反馈与信息查询；</w:t>
            </w:r>
          </w:p>
          <w:p>
            <w:pPr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</w:rPr>
              <w:t>6. 智能预警模块：自动完成患者危重程度评估与分级预警，留存评估记录。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三水智救通小程序</w:t>
            </w:r>
          </w:p>
        </w:tc>
        <w:tc>
          <w:tcPr>
            <w:tcW w:w="433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 患者信息维护模块：支持个人/家属基础信息与健康档案规范化录入、编辑，呼救时一键同步；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 音视频多方协同模块：一键发起音视频呼救，支持呼救者与120调度中心、急救人员等多方实时联动；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 地图实时定位与急救资源展示模块：北斗+GPS双模高精度定位，实时展示急救车辆轨迹、预计到达时间及医疗机构资源；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/>
              </w:rPr>
              <w:t>4. 危重患者信息院内推送模块：快速推送患者核心信息至院内，支持与院内系统无缝对接。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系统管理</w:t>
            </w:r>
          </w:p>
        </w:tc>
        <w:tc>
          <w:tcPr>
            <w:tcW w:w="433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 用户管理模块：全类型用户全生命周期管理，支持资质审核与实名认证；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 车辆及医疗设备管理模块：急救车辆及医疗设备全生命周期智能化管理，联动物联网设备实时监控；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 区域医院管理模块：医疗机构基础信息管理、分级分类管理及急救资源动态更新；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 权限管理模块：基于RBAC模型的精细化权限配置，支持角色自定义与批量权限调整。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地图运营商API接口集成</w:t>
            </w:r>
          </w:p>
        </w:tc>
        <w:tc>
          <w:tcPr>
            <w:tcW w:w="4332" w:type="dxa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主流地图企业版，含定位API、地图展示API、路径规划API、轨迹追踪API；支持28台救护车+12个站点+公众端实时定位，月调用量≤100万次，含1年地图厂商API接口授权。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6"/>
              <w:widowControl/>
              <w:spacing w:beforeAutospacing="1" w:afterAutospacing="1" w:line="27" w:lineRule="atLeast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平台接口模块</w:t>
            </w:r>
          </w:p>
        </w:tc>
        <w:tc>
          <w:tcPr>
            <w:tcW w:w="433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 院内系统对接：与区域内各医疗机构HIS/LIS/PACS及专科中心系统无缝对接；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 外部设备对接：兼容MQTT、CoAP等主流物联网通信协议，支持车载设备、可穿戴设备等数据采集；</w:t>
            </w:r>
          </w:p>
          <w:p>
            <w:pPr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</w:rPr>
              <w:t>3. 院前调度系统对接：与区域120急救指挥中心现有调度系统标准化对接，实现信息互联互通。</w:t>
            </w:r>
          </w:p>
        </w:tc>
      </w:tr>
    </w:tbl>
    <w:p>
      <w:pPr>
        <w:pStyle w:val="6"/>
        <w:widowControl/>
        <w:spacing w:beforeAutospacing="1" w:afterAutospacing="1" w:line="27" w:lineRule="atLeast"/>
        <w:ind w:left="470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商务要求</w:t>
      </w:r>
    </w:p>
    <w:p>
      <w:pPr>
        <w:numPr>
          <w:ilvl w:val="0"/>
          <w:numId w:val="3"/>
        </w:numPr>
        <w:tabs>
          <w:tab w:val="left" w:pos="540"/>
          <w:tab w:val="clear" w:pos="780"/>
        </w:tabs>
        <w:spacing w:line="360" w:lineRule="auto"/>
        <w:ind w:left="540" w:hanging="54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服务地点：</w:t>
      </w:r>
      <w:r>
        <w:rPr>
          <w:rFonts w:hint="eastAsia" w:ascii="宋体" w:hAnsi="宋体" w:cs="宋体"/>
          <w:bCs/>
          <w:kern w:val="0"/>
          <w:sz w:val="24"/>
        </w:rPr>
        <w:t>采购人（用户）所在地，地址为佛山市三水区人民医院（采购人指定地点）。</w:t>
      </w:r>
    </w:p>
    <w:p>
      <w:pPr>
        <w:pStyle w:val="11"/>
        <w:tabs>
          <w:tab w:val="left" w:pos="540"/>
        </w:tabs>
        <w:spacing w:before="0" w:after="0" w:line="360" w:lineRule="auto"/>
        <w:jc w:val="both"/>
        <w:rPr>
          <w:rFonts w:hint="eastAsia" w:ascii="宋体" w:hAnsi="宋体" w:cs="宋体"/>
          <w:bCs w:val="0"/>
          <w:spacing w:val="0"/>
          <w:szCs w:val="24"/>
        </w:rPr>
      </w:pPr>
      <w:r>
        <w:rPr>
          <w:rFonts w:hint="eastAsia" w:ascii="宋体" w:hAnsi="宋体" w:cs="宋体"/>
          <w:b/>
        </w:rPr>
        <w:t>2. 质保期</w:t>
      </w:r>
      <w:r>
        <w:rPr>
          <w:rFonts w:hint="eastAsia" w:ascii="宋体" w:hAnsi="宋体" w:cs="宋体"/>
          <w:b/>
          <w:spacing w:val="0"/>
          <w:szCs w:val="24"/>
        </w:rPr>
        <w:t>：</w:t>
      </w:r>
      <w:r>
        <w:rPr>
          <w:rFonts w:hint="eastAsia" w:ascii="宋体" w:hAnsi="宋体" w:cs="宋体"/>
          <w:spacing w:val="0"/>
        </w:rPr>
        <w:t>本项目调试验收合格后，</w:t>
      </w:r>
      <w:r>
        <w:rPr>
          <w:rFonts w:hint="eastAsia" w:ascii="宋体" w:hAnsi="宋体"/>
          <w:spacing w:val="0"/>
        </w:rPr>
        <w:t>提供本项目不少于</w:t>
      </w:r>
      <w:r>
        <w:rPr>
          <w:rFonts w:hint="eastAsia" w:ascii="宋体" w:hAnsi="宋体"/>
          <w:spacing w:val="0"/>
          <w:u w:val="single"/>
        </w:rPr>
        <w:t xml:space="preserve">  1   </w:t>
      </w:r>
      <w:r>
        <w:rPr>
          <w:rFonts w:hint="eastAsia" w:ascii="宋体" w:hAnsi="宋体"/>
          <w:spacing w:val="0"/>
        </w:rPr>
        <w:t>年免费维护服务期</w:t>
      </w:r>
      <w:r>
        <w:rPr>
          <w:rFonts w:hint="eastAsia" w:ascii="宋体" w:hAnsi="宋体" w:cs="宋体"/>
          <w:bCs w:val="0"/>
          <w:spacing w:val="0"/>
          <w:szCs w:val="24"/>
        </w:rPr>
        <w:t>。</w:t>
      </w:r>
    </w:p>
    <w:p>
      <w:pPr>
        <w:pStyle w:val="11"/>
        <w:tabs>
          <w:tab w:val="left" w:pos="540"/>
        </w:tabs>
        <w:spacing w:before="0" w:after="0" w:line="360" w:lineRule="auto"/>
        <w:jc w:val="both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3. 验收标准</w:t>
      </w:r>
    </w:p>
    <w:p>
      <w:pPr>
        <w:numPr>
          <w:ilvl w:val="0"/>
          <w:numId w:val="4"/>
        </w:numPr>
        <w:tabs>
          <w:tab w:val="left" w:pos="540"/>
        </w:tabs>
        <w:spacing w:line="360" w:lineRule="auto"/>
        <w:ind w:left="539" w:hanging="53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符合本文件中“项目建设清单”的要求；</w:t>
      </w:r>
    </w:p>
    <w:p>
      <w:pPr>
        <w:numPr>
          <w:ilvl w:val="0"/>
          <w:numId w:val="4"/>
        </w:numPr>
        <w:tabs>
          <w:tab w:val="left" w:pos="540"/>
        </w:tabs>
        <w:spacing w:line="360" w:lineRule="auto"/>
        <w:ind w:left="539" w:hanging="53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符合磋商文件和磋商响应承诺中采购人认可的最佳服务方案、计划安排及各项要求；</w:t>
      </w:r>
    </w:p>
    <w:p>
      <w:pPr>
        <w:numPr>
          <w:ilvl w:val="0"/>
          <w:numId w:val="4"/>
        </w:numPr>
        <w:tabs>
          <w:tab w:val="left" w:pos="540"/>
        </w:tabs>
        <w:spacing w:line="360" w:lineRule="auto"/>
        <w:ind w:left="539" w:hanging="53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采购人、供应商双方约定的其他验收标准。</w:t>
      </w:r>
    </w:p>
    <w:p>
      <w:pPr>
        <w:pStyle w:val="6"/>
        <w:widowControl/>
        <w:numPr>
          <w:ilvl w:val="0"/>
          <w:numId w:val="5"/>
        </w:numPr>
        <w:spacing w:beforeAutospacing="1" w:afterAutospacing="1" w:line="27" w:lineRule="atLeast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 w:cs="宋体"/>
          <w:b/>
          <w:snapToGrid w:val="0"/>
        </w:rPr>
        <w:t>项目交付要求</w:t>
      </w:r>
    </w:p>
    <w:p>
      <w:pPr>
        <w:numPr>
          <w:ilvl w:val="0"/>
          <w:numId w:val="6"/>
        </w:numPr>
        <w:tabs>
          <w:tab w:val="left" w:pos="540"/>
        </w:tabs>
        <w:spacing w:line="360" w:lineRule="auto"/>
        <w:ind w:left="539" w:hanging="539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验收时采购方、供应商等项目相关方都必须在现场，验收完毕后一致作出验收结果报告。</w:t>
      </w:r>
    </w:p>
    <w:p>
      <w:pPr>
        <w:numPr>
          <w:ilvl w:val="0"/>
          <w:numId w:val="6"/>
        </w:numPr>
        <w:tabs>
          <w:tab w:val="left" w:pos="540"/>
        </w:tabs>
        <w:spacing w:line="360" w:lineRule="auto"/>
        <w:ind w:left="539" w:hanging="53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供应商应在项目交付的同时交付主体有关单证资料、验收资料等相关资料给采购人，其中重要资料若非中文的，应附有中文说明。</w:t>
      </w: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质保期要求</w:t>
      </w:r>
    </w:p>
    <w:p>
      <w:pPr>
        <w:tabs>
          <w:tab w:val="left" w:pos="540"/>
        </w:tabs>
        <w:spacing w:line="348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1.供应商应设有稳定可靠的售后服务机构或同类合作机构，可提供7天×24小时热线电话服务和长期的免费技术支持。</w:t>
      </w:r>
    </w:p>
    <w:p>
      <w:pPr>
        <w:tabs>
          <w:tab w:val="left" w:pos="540"/>
        </w:tabs>
        <w:spacing w:line="348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在</w:t>
      </w:r>
      <w:r>
        <w:rPr>
          <w:rFonts w:hint="eastAsia" w:ascii="宋体" w:hAnsi="宋体"/>
          <w:sz w:val="24"/>
        </w:rPr>
        <w:t>本项目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维护</w:t>
      </w:r>
      <w:r>
        <w:rPr>
          <w:rFonts w:ascii="宋体" w:hAnsi="宋体"/>
          <w:sz w:val="24"/>
        </w:rPr>
        <w:t>服务期内，</w:t>
      </w:r>
      <w:r>
        <w:rPr>
          <w:rFonts w:hint="eastAsia" w:ascii="宋体" w:hAnsi="宋体"/>
          <w:sz w:val="24"/>
        </w:rPr>
        <w:t>供应商</w:t>
      </w:r>
      <w:r>
        <w:rPr>
          <w:rFonts w:ascii="宋体" w:hAnsi="宋体"/>
          <w:sz w:val="24"/>
        </w:rPr>
        <w:t>应确保</w:t>
      </w:r>
      <w:r>
        <w:rPr>
          <w:rFonts w:hint="eastAsia" w:ascii="宋体" w:hAnsi="宋体"/>
          <w:sz w:val="24"/>
        </w:rPr>
        <w:t>项目整体</w:t>
      </w:r>
      <w:r>
        <w:rPr>
          <w:rFonts w:ascii="宋体" w:hAnsi="宋体"/>
          <w:sz w:val="24"/>
        </w:rPr>
        <w:t>的正常使用。</w:t>
      </w:r>
      <w:r>
        <w:rPr>
          <w:rFonts w:hint="eastAsia" w:ascii="宋体" w:hAnsi="宋体" w:cs="宋体"/>
          <w:snapToGrid w:val="0"/>
          <w:kern w:val="0"/>
          <w:sz w:val="24"/>
        </w:rPr>
        <w:t>对采购人的售后服务通知，供应商接报后1小时内响应并制定明确的解决方案，技术人员远程或者电话解决问题。如12小时内未处理完毕，供应商须采取应急措施解决，不得影响采购人的正常工作业务。</w:t>
      </w:r>
    </w:p>
    <w:p>
      <w:pPr>
        <w:tabs>
          <w:tab w:val="left" w:pos="540"/>
        </w:tabs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3.供应商负责对采购人的操作人员进行免费培训。</w:t>
      </w:r>
    </w:p>
    <w:p>
      <w:pPr>
        <w:tabs>
          <w:tab w:val="left" w:pos="540"/>
        </w:tabs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4.具体售后服务措施，供应商要在响应文件中详细阐述。</w:t>
      </w:r>
    </w:p>
    <w:p>
      <w:pPr>
        <w:tabs>
          <w:tab w:val="left" w:pos="540"/>
        </w:tabs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5.免费维护期结束后，系统（含同系列版本升级）每年度的维护服务费不得高于合同中软件部分金额的6%。</w:t>
      </w: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付款方式要求</w:t>
      </w:r>
    </w:p>
    <w:p>
      <w:pPr>
        <w:tabs>
          <w:tab w:val="left" w:pos="540"/>
        </w:tabs>
        <w:spacing w:line="360" w:lineRule="auto"/>
        <w:ind w:firstLine="480" w:firstLineChars="200"/>
      </w:pPr>
      <w:r>
        <w:rPr>
          <w:rFonts w:hint="eastAsia" w:ascii="宋体" w:hAnsi="宋体" w:cs="宋体"/>
          <w:snapToGrid w:val="0"/>
          <w:kern w:val="0"/>
          <w:sz w:val="24"/>
        </w:rPr>
        <w:t>签订合同后支付合同金额的40%，项目验收后支付合同金额的60%。</w:t>
      </w:r>
      <w:r>
        <w:rPr>
          <w:rFonts w:hint="eastAsia" w:ascii="宋体" w:hAnsi="宋体" w:cs="Arial"/>
          <w:sz w:val="24"/>
        </w:rPr>
        <w:t>成交供应商必须向采购人开具有效的等额发票，收款方、出具发票方、合同乙方均必须与供应商名称一致。</w:t>
      </w:r>
    </w:p>
    <w:p>
      <w:pPr>
        <w:pStyle w:val="6"/>
        <w:widowControl/>
        <w:numPr>
          <w:ilvl w:val="0"/>
          <w:numId w:val="1"/>
        </w:numPr>
        <w:spacing w:beforeAutospacing="1" w:afterAutospacing="1" w:line="27" w:lineRule="atLeast"/>
        <w:ind w:firstLine="470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其他要求（如有）</w:t>
      </w:r>
    </w:p>
    <w:p>
      <w:pPr>
        <w:tabs>
          <w:tab w:val="left" w:pos="540"/>
        </w:tabs>
        <w:spacing w:line="360" w:lineRule="auto"/>
        <w:ind w:firstLine="480" w:firstLineChars="200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商务、技术以及价格评分要求，违约扣罚要求，考评要求等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9D139"/>
    <w:multiLevelType w:val="singleLevel"/>
    <w:tmpl w:val="8669D1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CA00D4"/>
    <w:multiLevelType w:val="multilevel"/>
    <w:tmpl w:val="8FCA00D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9A0D0354"/>
    <w:multiLevelType w:val="multilevel"/>
    <w:tmpl w:val="9A0D03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0C853858"/>
    <w:multiLevelType w:val="singleLevel"/>
    <w:tmpl w:val="0C8538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D064B10"/>
    <w:multiLevelType w:val="singleLevel"/>
    <w:tmpl w:val="5D064B10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645B3F3A"/>
    <w:multiLevelType w:val="multilevel"/>
    <w:tmpl w:val="645B3F3A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1" w:tentative="0">
      <w:start w:val="1"/>
      <w:numFmt w:val="decimal"/>
      <w:lvlText w:val="8.%2."/>
      <w:lvlJc w:val="left"/>
      <w:pPr>
        <w:tabs>
          <w:tab w:val="left" w:pos="930"/>
        </w:tabs>
        <w:ind w:left="930" w:hanging="510"/>
      </w:pPr>
      <w:rPr>
        <w:rFonts w:hint="eastAsia"/>
        <w:b w:val="0"/>
        <w:i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12CA3"/>
    <w:rsid w:val="000A3382"/>
    <w:rsid w:val="0041081D"/>
    <w:rsid w:val="004A1219"/>
    <w:rsid w:val="005A39F2"/>
    <w:rsid w:val="007613D6"/>
    <w:rsid w:val="00800786"/>
    <w:rsid w:val="0083020A"/>
    <w:rsid w:val="00890F72"/>
    <w:rsid w:val="00AF169C"/>
    <w:rsid w:val="00BF168A"/>
    <w:rsid w:val="00E12F22"/>
    <w:rsid w:val="014504AA"/>
    <w:rsid w:val="0B1B2869"/>
    <w:rsid w:val="0F16182B"/>
    <w:rsid w:val="0FA112F2"/>
    <w:rsid w:val="0FDE4C26"/>
    <w:rsid w:val="194306A7"/>
    <w:rsid w:val="1CA12CA3"/>
    <w:rsid w:val="22A3522D"/>
    <w:rsid w:val="252A19C3"/>
    <w:rsid w:val="27EC369A"/>
    <w:rsid w:val="2B2C4704"/>
    <w:rsid w:val="2C8C40B1"/>
    <w:rsid w:val="2F3A76F8"/>
    <w:rsid w:val="2F807B72"/>
    <w:rsid w:val="2F89451F"/>
    <w:rsid w:val="31D03D2C"/>
    <w:rsid w:val="32EE71D9"/>
    <w:rsid w:val="339668CD"/>
    <w:rsid w:val="457429EF"/>
    <w:rsid w:val="47520693"/>
    <w:rsid w:val="48400345"/>
    <w:rsid w:val="490739B5"/>
    <w:rsid w:val="49B44786"/>
    <w:rsid w:val="4D5C2458"/>
    <w:rsid w:val="5A800DC0"/>
    <w:rsid w:val="5B8947DD"/>
    <w:rsid w:val="5FE71054"/>
    <w:rsid w:val="6086565A"/>
    <w:rsid w:val="65623524"/>
    <w:rsid w:val="69653BEC"/>
    <w:rsid w:val="6C8B1ED2"/>
    <w:rsid w:val="6DD25EF1"/>
    <w:rsid w:val="6E330098"/>
    <w:rsid w:val="71113940"/>
    <w:rsid w:val="7A863FBE"/>
    <w:rsid w:val="7B7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adjustRightInd w:val="0"/>
      <w:spacing w:before="120"/>
      <w:textAlignment w:val="baseline"/>
    </w:pPr>
    <w:rPr>
      <w:rFonts w:cs="Arial"/>
      <w:sz w:val="24"/>
      <w:szCs w:val="20"/>
      <w:lang w:eastAsia="ja-JP"/>
    </w:rPr>
  </w:style>
  <w:style w:type="paragraph" w:styleId="3">
    <w:name w:val="Normal Indent"/>
    <w:basedOn w:val="1"/>
    <w:next w:val="1"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表格文字"/>
    <w:basedOn w:val="12"/>
    <w:qFormat/>
    <w:uiPriority w:val="0"/>
    <w:pPr>
      <w:spacing w:before="25" w:after="25"/>
      <w:jc w:val="left"/>
    </w:pPr>
    <w:rPr>
      <w:rFonts w:cs="Times New Roman"/>
      <w:bCs/>
      <w:spacing w:val="10"/>
      <w:kern w:val="0"/>
      <w:sz w:val="24"/>
      <w:szCs w:val="20"/>
    </w:rPr>
  </w:style>
  <w:style w:type="paragraph" w:customStyle="1" w:styleId="12">
    <w:name w:val="正文_1"/>
    <w:next w:val="3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</Words>
  <Characters>1904</Characters>
  <Lines>15</Lines>
  <Paragraphs>4</Paragraphs>
  <TotalTime>0</TotalTime>
  <ScaleCrop>false</ScaleCrop>
  <LinksUpToDate>false</LinksUpToDate>
  <CharactersWithSpaces>2233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2026-03-06T03:31:00Z</dcterms:created>
  <dc:creator>杨凤娟</dc:creator>
  <cp:lastModifiedBy>林心莹</cp:lastModifiedBy>
  <dcterms:modified xsi:type="dcterms:W3CDTF">2026-03-09T03:07:50Z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0B5EA10A2EAD48E7AE7D6A9CA224DE91</vt:lpwstr>
  </property>
  <property fmtid="{D5CDD505-2E9C-101B-9397-08002B2CF9AE}" pid="4" name="KSOTemplateDocerSaveRecord">
    <vt:lpwstr>eyJoZGlkIjoiMGIwZDNmZmEzYTA4YWY1NDFjNTkwNDg0Y2Q3MmYzMTAiLCJ1c2VySWQiOiI5MzEzODQ5NTMifQ==</vt:lpwstr>
  </property>
</Properties>
</file>